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木垒哈萨克自治县机关事务服务中心</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rPr>
          <w:rFonts w:ascii="仿宋_GB2312" w:eastAsia="仿宋_GB2312"/>
          <w:sz w:val="32"/>
          <w:szCs w:val="32"/>
        </w:rPr>
      </w:pPr>
      <w:r>
        <w:rPr>
          <w:rFonts w:hint="eastAsia" w:ascii="仿宋_GB2312" w:eastAsia="仿宋_GB2312"/>
          <w:sz w:val="32"/>
          <w:szCs w:val="32"/>
        </w:rPr>
        <w:t xml:space="preserve">木垒哈萨克自治县机关事务服务中心主要负责自治县党委、政府机关事务保障工作、机构节能工作、办公用房、接待等工作，主要职能是： </w:t>
      </w:r>
    </w:p>
    <w:p>
      <w:pPr>
        <w:ind w:firstLine="640" w:firstLineChars="200"/>
        <w:rPr>
          <w:rFonts w:ascii="仿宋_GB2312" w:eastAsia="仿宋_GB2312"/>
          <w:sz w:val="32"/>
          <w:szCs w:val="32"/>
        </w:rPr>
      </w:pPr>
      <w:r>
        <w:rPr>
          <w:rFonts w:hint="eastAsia" w:ascii="仿宋_GB2312" w:eastAsia="仿宋_GB2312"/>
          <w:sz w:val="32"/>
          <w:szCs w:val="32"/>
        </w:rPr>
        <w:t xml:space="preserve">（一）负责自治县党委、政府机关事务的管理、保障、服务工作。依据有关法规政策拟订自治县机关事务管理和保障的制度、办法和标准，并组织实施；指导、监督县级机关各单位及乡镇机关后勤管理工作。 </w:t>
      </w:r>
    </w:p>
    <w:p>
      <w:pPr>
        <w:ind w:firstLine="640" w:firstLineChars="200"/>
        <w:rPr>
          <w:rFonts w:ascii="仿宋_GB2312" w:eastAsia="仿宋_GB2312"/>
          <w:sz w:val="32"/>
          <w:szCs w:val="32"/>
        </w:rPr>
      </w:pPr>
      <w:r>
        <w:rPr>
          <w:rFonts w:hint="eastAsia" w:ascii="仿宋_GB2312" w:eastAsia="仿宋_GB2312"/>
          <w:sz w:val="32"/>
          <w:szCs w:val="32"/>
        </w:rPr>
        <w:t xml:space="preserve">（二）负责自治县党委、政府机关基本建设管理。负责自治县党政综合办公大楼房产、附属房产的使用、分配和综合管理；负责公寓楼及会议中心等有关房产的产权、产籍和使用管理及修缮维护管理。 </w:t>
      </w:r>
    </w:p>
    <w:p>
      <w:pPr>
        <w:ind w:firstLine="640" w:firstLineChars="200"/>
        <w:rPr>
          <w:rFonts w:ascii="仿宋_GB2312" w:eastAsia="仿宋_GB2312"/>
          <w:sz w:val="32"/>
          <w:szCs w:val="32"/>
        </w:rPr>
      </w:pPr>
      <w:r>
        <w:rPr>
          <w:rFonts w:hint="eastAsia" w:ascii="仿宋_GB2312" w:eastAsia="仿宋_GB2312"/>
          <w:sz w:val="32"/>
          <w:szCs w:val="32"/>
        </w:rPr>
        <w:t xml:space="preserve">（三）负责自治县公共机构有关节约能源监督管理工作；会同有关单位制定自治县公共机构节能规划、规章制度并组织实施；组织开展能耗统计、监测和评价考核工作；配合相关单位做好自治县党委、政府机关、事业单位经营性资产和固定资产工作。 </w:t>
      </w:r>
    </w:p>
    <w:p>
      <w:pPr>
        <w:ind w:firstLine="640" w:firstLineChars="200"/>
        <w:rPr>
          <w:rFonts w:ascii="仿宋_GB2312" w:eastAsia="仿宋_GB2312"/>
          <w:sz w:val="32"/>
          <w:szCs w:val="32"/>
        </w:rPr>
      </w:pPr>
      <w:r>
        <w:rPr>
          <w:rFonts w:hint="eastAsia" w:ascii="仿宋_GB2312" w:eastAsia="仿宋_GB2312"/>
          <w:sz w:val="32"/>
          <w:szCs w:val="32"/>
        </w:rPr>
        <w:t>（四）拟订自治县公务接待工作的有关制度和接待服务标准；负责县委、人大、政府、政协四套班子的公务接待工作；承担自治县重大活动和召开大型会议的接待服务工作；指导、协调县级机关各单位及乡镇公务接待工作。</w:t>
      </w:r>
    </w:p>
    <w:p>
      <w:pPr>
        <w:ind w:firstLine="640" w:firstLineChars="200"/>
        <w:rPr>
          <w:rFonts w:ascii="仿宋_GB2312" w:eastAsia="仿宋_GB2312"/>
          <w:sz w:val="32"/>
          <w:szCs w:val="32"/>
        </w:rPr>
      </w:pPr>
      <w:r>
        <w:rPr>
          <w:rFonts w:hint="eastAsia" w:ascii="仿宋_GB2312" w:eastAsia="仿宋_GB2312"/>
          <w:sz w:val="32"/>
          <w:szCs w:val="32"/>
        </w:rPr>
        <w:t xml:space="preserve">（五）负责自治县党政综合办公楼的内部环境卫生、庭院绿化、公用设施管理等工作。 </w:t>
      </w:r>
    </w:p>
    <w:p>
      <w:pPr>
        <w:ind w:firstLine="640" w:firstLineChars="200"/>
        <w:rPr>
          <w:rFonts w:ascii="仿宋_GB2312" w:eastAsia="仿宋_GB2312"/>
          <w:sz w:val="32"/>
          <w:szCs w:val="32"/>
        </w:rPr>
      </w:pPr>
      <w:r>
        <w:rPr>
          <w:rFonts w:hint="eastAsia" w:ascii="仿宋_GB2312" w:eastAsia="仿宋_GB2312"/>
          <w:sz w:val="32"/>
          <w:szCs w:val="32"/>
        </w:rPr>
        <w:t xml:space="preserve">（六）负责自治县党政机关、事业单位办公用房调整工作。 </w:t>
      </w:r>
    </w:p>
    <w:p>
      <w:pPr>
        <w:ind w:firstLine="640" w:firstLineChars="200"/>
        <w:rPr>
          <w:rFonts w:ascii="仿宋_GB2312" w:eastAsia="仿宋_GB2312"/>
          <w:sz w:val="32"/>
          <w:szCs w:val="32"/>
        </w:rPr>
      </w:pPr>
      <w:r>
        <w:rPr>
          <w:rFonts w:hint="eastAsia" w:ascii="仿宋_GB2312" w:eastAsia="仿宋_GB2312"/>
          <w:sz w:val="32"/>
          <w:szCs w:val="32"/>
        </w:rPr>
        <w:t>（七）承办自治县党委、人民政府交办的其他事项。</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木垒哈萨克自治县机关事务服务中心2023年度，实有人数</w:t>
      </w:r>
      <w:r>
        <w:rPr>
          <w:rFonts w:hint="eastAsia" w:ascii="仿宋_GB2312" w:eastAsia="仿宋_GB2312"/>
          <w:sz w:val="32"/>
          <w:szCs w:val="32"/>
          <w:lang w:val="zh-CN"/>
        </w:rPr>
        <w:t>18</w:t>
      </w:r>
      <w:r>
        <w:rPr>
          <w:rFonts w:hint="eastAsia" w:ascii="仿宋_GB2312" w:eastAsia="仿宋_GB2312"/>
          <w:sz w:val="32"/>
          <w:szCs w:val="32"/>
        </w:rPr>
        <w:t>人，其中：在职人员</w:t>
      </w:r>
      <w:r>
        <w:rPr>
          <w:rFonts w:hint="eastAsia" w:ascii="仿宋_GB2312" w:eastAsia="仿宋_GB2312"/>
          <w:sz w:val="32"/>
          <w:szCs w:val="32"/>
          <w:lang w:val="zh-CN"/>
        </w:rPr>
        <w:t>12</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6</w:t>
      </w:r>
      <w:r>
        <w:rPr>
          <w:rFonts w:hint="eastAsia" w:ascii="仿宋_GB2312" w:eastAsia="仿宋_GB2312"/>
          <w:sz w:val="32"/>
          <w:szCs w:val="32"/>
        </w:rPr>
        <w:t>人。</w:t>
      </w:r>
    </w:p>
    <w:p>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办公室。</w:t>
      </w:r>
    </w:p>
    <w:p>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2023年度收入总计449.32万元，其中：本年收入合计449.32万元，使用非财政拨款结余0.00万元，年初结转和结余0.00万元。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2023年度支出总计449.32万元，其中：本年支出合计449.32万元，结余分配0.00万元，年末结转和结余0.00万元。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增加66.38万元</w:t>
      </w:r>
      <w:r>
        <w:rPr>
          <w:rFonts w:hint="eastAsia" w:ascii="仿宋_GB2312" w:eastAsia="仿宋_GB2312"/>
          <w:sz w:val="32"/>
          <w:szCs w:val="32"/>
        </w:rPr>
        <w:t>，增长17.33%，主要原因是：本年人员增加7人，工资社保等经费增加。</w:t>
      </w:r>
    </w:p>
    <w:p>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本年收入449.32万元，其中：财政拨款收入</w:t>
      </w:r>
      <w:r>
        <w:rPr>
          <w:rFonts w:hint="eastAsia" w:ascii="仿宋_GB2312" w:eastAsia="仿宋_GB2312"/>
          <w:sz w:val="32"/>
          <w:szCs w:val="32"/>
          <w:lang w:val="zh-CN"/>
        </w:rPr>
        <w:t>449.32</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rPr>
      </w:pPr>
      <w:r>
        <w:rPr>
          <w:rFonts w:hint="eastAsia" w:ascii="仿宋_GB2312" w:eastAsia="仿宋_GB2312"/>
          <w:sz w:val="32"/>
          <w:szCs w:val="32"/>
        </w:rPr>
        <w:t>本年支出449.32万元，其中：基本支出449.32万元，占100.00%；项目支出0.00万元，占0.00%；上缴上级支出0.00万元，占0.00%；经营支出0.00万元，占0.00%；对附属单位补助支出0.00万元，占0.00%。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449.32</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449.32</w:t>
      </w:r>
      <w:r>
        <w:rPr>
          <w:rFonts w:hint="eastAsia" w:ascii="仿宋_GB2312" w:eastAsia="仿宋_GB2312"/>
          <w:sz w:val="32"/>
          <w:szCs w:val="32"/>
        </w:rPr>
        <w:t>万元。财政拨款支出总计</w:t>
      </w:r>
      <w:r>
        <w:rPr>
          <w:rFonts w:hint="eastAsia" w:ascii="仿宋_GB2312" w:eastAsia="仿宋_GB2312"/>
          <w:sz w:val="32"/>
          <w:szCs w:val="32"/>
          <w:lang w:val="zh-CN"/>
        </w:rPr>
        <w:t>449.32</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449.32</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增加66.38万元</w:t>
      </w:r>
      <w:r>
        <w:rPr>
          <w:rFonts w:hint="eastAsia" w:ascii="仿宋_GB2312" w:eastAsia="仿宋_GB2312"/>
          <w:sz w:val="32"/>
          <w:szCs w:val="32"/>
        </w:rPr>
        <w:t>，增长17.33%,主要原因是：本年人员增加7人，工资社保等经费增加。与年初预算相比，年初预算数</w:t>
      </w:r>
      <w:r>
        <w:rPr>
          <w:rFonts w:hint="eastAsia" w:ascii="仿宋_GB2312" w:eastAsia="仿宋_GB2312"/>
          <w:sz w:val="32"/>
          <w:szCs w:val="32"/>
          <w:lang w:val="zh-CN"/>
        </w:rPr>
        <w:t>457.17</w:t>
      </w:r>
      <w:r>
        <w:rPr>
          <w:rFonts w:hint="eastAsia" w:ascii="仿宋_GB2312" w:eastAsia="仿宋_GB2312"/>
          <w:sz w:val="32"/>
          <w:szCs w:val="32"/>
        </w:rPr>
        <w:t>万元，决算数</w:t>
      </w:r>
      <w:r>
        <w:rPr>
          <w:rFonts w:hint="eastAsia" w:ascii="仿宋_GB2312" w:eastAsia="仿宋_GB2312"/>
          <w:sz w:val="32"/>
          <w:szCs w:val="32"/>
          <w:lang w:val="zh-CN"/>
        </w:rPr>
        <w:t>449.32</w:t>
      </w:r>
      <w:r>
        <w:rPr>
          <w:rFonts w:hint="eastAsia" w:ascii="仿宋_GB2312" w:eastAsia="仿宋_GB2312"/>
          <w:sz w:val="32"/>
          <w:szCs w:val="32"/>
        </w:rPr>
        <w:t>万元，预决算差异率-1.72%，主要原因是：较预算相比，减少人员预算经费。</w:t>
      </w:r>
    </w:p>
    <w:p>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2023年度一般公共预算财政拨款支出449.32万元，占本年支出合计的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增加66.38万元</w:t>
      </w:r>
      <w:r>
        <w:rPr>
          <w:rFonts w:hint="eastAsia" w:ascii="仿宋_GB2312" w:eastAsia="仿宋_GB2312"/>
          <w:sz w:val="32"/>
          <w:szCs w:val="32"/>
        </w:rPr>
        <w:t>，增长17.33%,主要原因是：本年人员增加7人，工资社保等经费增加。与年初预算相比，年初预算数</w:t>
      </w:r>
      <w:r>
        <w:rPr>
          <w:rFonts w:hint="eastAsia" w:ascii="仿宋_GB2312" w:eastAsia="仿宋_GB2312"/>
          <w:sz w:val="32"/>
          <w:szCs w:val="32"/>
          <w:lang w:val="zh-CN"/>
        </w:rPr>
        <w:t>457.17</w:t>
      </w:r>
      <w:r>
        <w:rPr>
          <w:rFonts w:hint="eastAsia" w:ascii="仿宋_GB2312" w:eastAsia="仿宋_GB2312"/>
          <w:sz w:val="32"/>
          <w:szCs w:val="32"/>
        </w:rPr>
        <w:t>万元，决算数</w:t>
      </w:r>
      <w:r>
        <w:rPr>
          <w:rFonts w:hint="eastAsia" w:ascii="仿宋_GB2312" w:eastAsia="仿宋_GB2312"/>
          <w:sz w:val="32"/>
          <w:szCs w:val="32"/>
          <w:lang w:val="zh-CN"/>
        </w:rPr>
        <w:t>449.32</w:t>
      </w:r>
      <w:r>
        <w:rPr>
          <w:rFonts w:hint="eastAsia" w:ascii="仿宋_GB2312" w:eastAsia="仿宋_GB2312"/>
          <w:sz w:val="32"/>
          <w:szCs w:val="32"/>
        </w:rPr>
        <w:t>万元，预决算差异率</w:t>
      </w:r>
      <w:r>
        <w:rPr>
          <w:rFonts w:hint="eastAsia" w:ascii="仿宋_GB2312" w:eastAsia="仿宋_GB2312"/>
          <w:sz w:val="32"/>
          <w:szCs w:val="32"/>
          <w:lang w:val="zh-CN"/>
        </w:rPr>
        <w:t>-1.72%</w:t>
      </w:r>
      <w:r>
        <w:rPr>
          <w:rFonts w:hint="eastAsia" w:ascii="仿宋_GB2312" w:eastAsia="仿宋_GB2312"/>
          <w:sz w:val="32"/>
          <w:szCs w:val="32"/>
        </w:rPr>
        <w:t>，主要原因是：较预算相比，减少人员预算经费。</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419.63</w:t>
      </w:r>
      <w:r>
        <w:rPr>
          <w:rFonts w:ascii="仿宋_GB2312" w:eastAsia="仿宋_GB2312"/>
          <w:kern w:val="2"/>
          <w:sz w:val="32"/>
          <w:szCs w:val="32"/>
          <w:lang w:val="zh-CN"/>
        </w:rPr>
        <w:t>万元，占</w:t>
      </w:r>
      <w:r>
        <w:rPr>
          <w:rFonts w:hint="eastAsia" w:ascii="仿宋_GB2312" w:eastAsia="仿宋_GB2312"/>
          <w:kern w:val="2"/>
          <w:sz w:val="32"/>
          <w:szCs w:val="32"/>
          <w:lang w:val="zh-CN"/>
        </w:rPr>
        <w:t>93.39</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20.53</w:t>
      </w:r>
      <w:r>
        <w:rPr>
          <w:rFonts w:ascii="仿宋_GB2312" w:eastAsia="仿宋_GB2312"/>
          <w:kern w:val="2"/>
          <w:sz w:val="32"/>
          <w:szCs w:val="32"/>
          <w:lang w:val="zh-CN"/>
        </w:rPr>
        <w:t>万元，占</w:t>
      </w:r>
      <w:r>
        <w:rPr>
          <w:rFonts w:hint="eastAsia" w:ascii="仿宋_GB2312" w:eastAsia="仿宋_GB2312"/>
          <w:kern w:val="2"/>
          <w:sz w:val="32"/>
          <w:szCs w:val="32"/>
          <w:lang w:val="zh-CN"/>
        </w:rPr>
        <w:t>4.57</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9.16</w:t>
      </w:r>
      <w:r>
        <w:rPr>
          <w:rFonts w:ascii="仿宋_GB2312" w:eastAsia="仿宋_GB2312"/>
          <w:kern w:val="2"/>
          <w:sz w:val="32"/>
          <w:szCs w:val="32"/>
          <w:lang w:val="zh-CN"/>
        </w:rPr>
        <w:t>万元，占</w:t>
      </w:r>
      <w:r>
        <w:rPr>
          <w:rFonts w:hint="eastAsia" w:ascii="仿宋_GB2312" w:eastAsia="仿宋_GB2312"/>
          <w:kern w:val="2"/>
          <w:sz w:val="32"/>
          <w:szCs w:val="32"/>
          <w:lang w:val="zh-CN"/>
        </w:rPr>
        <w:t>2.04</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1.住房保障支出（类）住房改革支出（款）住房公积金（项）:支出决算数为9.16万元，比上年决算增加2.05万元，增长28.76%，主要原因是：</w:t>
      </w:r>
      <w:r>
        <w:rPr>
          <w:rFonts w:hint="eastAsia" w:ascii="仿宋_GB2312" w:hAnsi="仿宋_GB2312" w:eastAsia="仿宋_GB2312" w:cs="仿宋_GB2312"/>
          <w:kern w:val="0"/>
          <w:sz w:val="32"/>
          <w:szCs w:val="32"/>
        </w:rPr>
        <w:t>2023年人员增加，人员公积金缴费增加</w:t>
      </w:r>
      <w:r>
        <w:rPr>
          <w:rFonts w:hint="eastAsia" w:ascii="仿宋_GB2312" w:eastAsia="仿宋_GB2312"/>
          <w:sz w:val="32"/>
          <w:szCs w:val="32"/>
        </w:rPr>
        <w:t>。</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2.一般公共服务支出（类）政府办公厅（室）及相关机构事务（款）事业运行（项）:支出决算数为419.63万元，比上年决算增加178.78万元，增长74.23%，主要原因是：</w:t>
      </w:r>
      <w:r>
        <w:rPr>
          <w:rFonts w:hint="eastAsia" w:ascii="仿宋_GB2312" w:hAnsi="仿宋_GB2312" w:eastAsia="仿宋_GB2312" w:cs="仿宋_GB2312"/>
          <w:kern w:val="0"/>
          <w:sz w:val="32"/>
          <w:szCs w:val="32"/>
        </w:rPr>
        <w:t>本年度将专家楼交由机关事务服务中心管理，致委托业务费增加</w:t>
      </w:r>
      <w:r>
        <w:rPr>
          <w:rFonts w:hint="eastAsia" w:ascii="仿宋_GB2312" w:eastAsia="仿宋_GB2312"/>
          <w:sz w:val="32"/>
          <w:szCs w:val="32"/>
        </w:rPr>
        <w:t>。</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3.社会保障和就业支出（类）行政事业单位养老支出（款）事业单位离退休（项）:支出决算数为1.59万元，比上年决算增加1.00万元，增长170.29%，主要原因是：本年退休人员增加，增加退休费。</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4.社会保障和就业支出（类）行政事业单位养老支出（款）机关事业单位职业年金缴费支出（项）:支出决算数为6.84万元，比上年决算增加6.84万元，增长100%，主要原因是：人员增加，增加职业年金缴费。</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5.社会保障和就业支出（类）行政事业单位养老支出（款）机关事业单位基本养老保险缴费支出（项）:支出决算数为12.09万元，比上年决算增加2.04万元，增长20.25%，主要原因是：单位本年人员增加，相应人员养老保险缴费增加。</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6.一般公共服务支出（类）政府办公厅（室）及相关机构事务（款）机关服务（项）:支出决算数为0.00万元，比上年决算减少120.87万元，下降100%，主要原因是：单位本年无此项经费。</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7.一般公共服务支出（类）其他一般公共服务支出（款）其他一般公共服务支出（项）:支出决算数为0.00万元，比上年决算减少3.45万元，下降100%，主要原因是：单位本年无此项经费。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449.32万元，其中：人员经费145.92万元，包括：基本工资、津贴补贴、奖金、机关事业单位基本养老保险缴费、职业年金缴费、职工基本医疗保险缴费、其他社会保障缴费、住房公积金、其他工资福利支出、退休费、奖励金、其他对个人和家庭的补助。</w:t>
      </w:r>
    </w:p>
    <w:p>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公用经费303.40万元，包括：办公费、水费、电费、邮电费、取暖费、物业管理费、维修（护）费、公务接待费、专用材料费、劳务费、委托业务费、公务用车运行维护费、其他商品和服务支出。</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“三公”经费支出74.20万元，</w:t>
      </w:r>
      <w:r>
        <w:rPr>
          <w:rFonts w:hint="eastAsia" w:ascii="仿宋_GB2312" w:eastAsia="仿宋_GB2312"/>
          <w:sz w:val="32"/>
          <w:szCs w:val="32"/>
        </w:rPr>
        <w:t>比上年</w:t>
      </w:r>
      <w:r>
        <w:rPr>
          <w:rFonts w:hint="eastAsia" w:ascii="仿宋_GB2312" w:eastAsia="仿宋_GB2312"/>
          <w:sz w:val="32"/>
          <w:szCs w:val="32"/>
          <w:lang w:val="zh-CN"/>
        </w:rPr>
        <w:t>增加21.47万元，</w:t>
      </w:r>
      <w:r>
        <w:rPr>
          <w:rFonts w:hint="eastAsia" w:ascii="仿宋_GB2312" w:eastAsia="仿宋_GB2312"/>
          <w:sz w:val="32"/>
          <w:szCs w:val="32"/>
        </w:rPr>
        <w:t>增长40.72%,</w:t>
      </w:r>
      <w:r>
        <w:rPr>
          <w:rFonts w:hint="eastAsia" w:ascii="仿宋_GB2312" w:eastAsia="仿宋_GB2312"/>
          <w:sz w:val="32"/>
          <w:szCs w:val="32"/>
          <w:lang w:val="zh-CN"/>
        </w:rPr>
        <w:t>主要原因是：车辆老化，本年车辆维修维护费、燃油费增加。其中：因公出国（境）费支出0.00万元，占0.00%，比上年增加0.00万元，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主要原因是：本年我单位无此经费；公务用车购置及运行维护费支出18.69万元，占25.19%，比上年增加5.96万元，</w:t>
      </w:r>
      <w:r>
        <w:rPr>
          <w:rFonts w:hint="eastAsia" w:ascii="仿宋_GB2312" w:eastAsia="仿宋_GB2312"/>
          <w:sz w:val="32"/>
          <w:szCs w:val="32"/>
        </w:rPr>
        <w:t>增长46.82%,</w:t>
      </w:r>
      <w:r>
        <w:rPr>
          <w:rFonts w:hint="eastAsia" w:ascii="仿宋_GB2312" w:eastAsia="仿宋_GB2312"/>
          <w:sz w:val="32"/>
          <w:szCs w:val="32"/>
          <w:lang w:val="zh-CN"/>
        </w:rPr>
        <w:t>主要原因是：车辆老化，本年车辆维修维护费、燃油费增加；公务接待费支出55.51万元，占74.81%，比上年增加15.51万元，</w:t>
      </w:r>
      <w:r>
        <w:rPr>
          <w:rFonts w:hint="eastAsia" w:ascii="仿宋_GB2312" w:eastAsia="仿宋_GB2312"/>
          <w:sz w:val="32"/>
          <w:szCs w:val="32"/>
        </w:rPr>
        <w:t>增长38.77%,</w:t>
      </w:r>
      <w:r>
        <w:rPr>
          <w:rFonts w:hint="eastAsia" w:ascii="仿宋_GB2312" w:eastAsia="仿宋_GB2312"/>
          <w:sz w:val="32"/>
          <w:szCs w:val="32"/>
          <w:lang w:val="zh-CN"/>
        </w:rPr>
        <w:t>主要原因是：单位本年纪检监察巡视次数增加，接待费用增加。</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因公出国（境）费支出0.00万元，开支内容包括本年我单位无此经费。单位全年安排的因公出国（境）团组0个，因公出国（境）0人次。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18.69万元，其中：公务用车购置费0.00万元，公务用车运行维护费18.69万元。公务用车运行维护费开支内容包括公务用车燃油费、车辆维修维护费、保险费、过路费等。公务用车购置数0辆，公务用车保有量12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76辆，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原因是：本单位车辆由机关事务管理中心统一管理。</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公务接待费55.51万元，开支内容包括接待人员餐费、住宿费等。单位全年安排的国内公务接待585批次，9689人次。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预算数74.20万元，决算数74.20万元，预决算差异率0.00%，主要原因是：严格按预算执行，预决算对比无差异。其中：因公出国（境）费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0.00万元，决算数0.00万元，预决算差异率0.00%，主要原因是：本年我单位无此经费；公务用车购置费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预算数0.00万元，决算数0.00万元，预决算差异率0.00%，主要原因是：本年我单位无此经费；公务用车运行费</w:t>
      </w:r>
      <w:r>
        <w:rPr>
          <w:rFonts w:hint="eastAsia" w:ascii="仿宋_GB2312" w:eastAsia="仿宋_GB2312"/>
          <w:sz w:val="32"/>
          <w:szCs w:val="32"/>
        </w:rPr>
        <w:t>全年</w:t>
      </w:r>
      <w:r>
        <w:rPr>
          <w:rFonts w:hint="eastAsia" w:ascii="仿宋_GB2312" w:eastAsia="仿宋_GB2312"/>
          <w:sz w:val="32"/>
          <w:szCs w:val="32"/>
          <w:lang w:val="zh-CN"/>
        </w:rPr>
        <w:t>预算数18.69万元，决算数18.69万元，预决算差异率0.00%，主要原因是：严格按预算执行，预决算对比无差异；公务接待费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预算数55.51万元，决算数55.51万元，预决算差异率0.00%，主要原因是：严格按预算执行，预决算对比无差异。</w:t>
      </w:r>
    </w:p>
    <w:p>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2023年度木垒哈萨克自治县机关事务服务中心（事业单位）公用经费支出303.40万元，比上年增加208.22万元，增长218.76%，主要原因是：本年维修（护）费、公务接待费、公务用车运行维护费等增加。</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2023年度政府采购支出总额69.53万元，其中：政府采购货物支出21.23万元、政府采购工程支出20.86万元、政府采购服务支出27.44万元。</w:t>
      </w:r>
    </w:p>
    <w:p>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授予中小企业合同金额69.53万元，占政府采购支出总额的100.00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，其中：授予小微企业合同金额66.43万元，占政府采购支出总额的95.54</w:t>
      </w:r>
      <w:r>
        <w:rPr>
          <w:rFonts w:ascii="仿宋_GB2312" w:eastAsia="仿宋_GB2312"/>
          <w:sz w:val="32"/>
          <w:szCs w:val="32"/>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3,825.19万元，房屋12,050.07平方米，价值2,106.03万元。车辆76辆，价值1,495.93万元，其中：副部（省）级及以上领导用车0辆、主要负责人用车0辆、机要通信用车0辆、应急保障用车0辆、执法执勤用车2辆、特种专业技术用车2辆、离退休干部服务用车0辆、其他用车72辆，其他用车主要是：业务用车；单价100万元（含）以上设备（不含车辆）0台（套）。</w:t>
      </w:r>
    </w:p>
    <w:p>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449.32</w:t>
      </w:r>
      <w:r>
        <w:rPr>
          <w:rFonts w:hint="eastAsia" w:ascii="仿宋_GB2312" w:eastAsia="仿宋_GB2312"/>
          <w:sz w:val="32"/>
          <w:szCs w:val="32"/>
        </w:rPr>
        <w:t>万元，实际执行总额</w:t>
      </w:r>
      <w:r>
        <w:rPr>
          <w:rFonts w:ascii="仿宋_GB2312" w:eastAsia="仿宋_GB2312"/>
          <w:sz w:val="32"/>
          <w:szCs w:val="32"/>
        </w:rPr>
        <w:t>449.32</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w:t>
      </w:r>
      <w:r>
        <w:rPr>
          <w:rFonts w:hint="eastAsia" w:ascii="仿宋_GB2312" w:hAnsi="宋体" w:eastAsia="仿宋_GB2312"/>
          <w:bCs/>
          <w:sz w:val="32"/>
          <w:szCs w:val="32"/>
        </w:rPr>
        <w:t>政府采购执行率</w:t>
      </w:r>
      <w:r>
        <w:rPr>
          <w:rFonts w:hint="eastAsia" w:ascii="仿宋_GB2312" w:eastAsia="仿宋_GB2312"/>
          <w:sz w:val="32"/>
          <w:szCs w:val="32"/>
        </w:rPr>
        <w:t>；二是</w:t>
      </w:r>
      <w:r>
        <w:rPr>
          <w:rFonts w:hint="eastAsia" w:ascii="仿宋_GB2312" w:hAnsi="宋体" w:eastAsia="仿宋_GB2312"/>
          <w:bCs/>
          <w:sz w:val="32"/>
          <w:szCs w:val="32"/>
        </w:rPr>
        <w:t>设备设施维修率</w:t>
      </w:r>
      <w:r>
        <w:rPr>
          <w:rFonts w:hint="eastAsia" w:ascii="仿宋_GB2312" w:eastAsia="仿宋_GB2312"/>
          <w:sz w:val="32"/>
          <w:szCs w:val="32"/>
        </w:rPr>
        <w:t>。发现的问题及原因：一是完善几下目标设立；二是</w:t>
      </w:r>
      <w:r>
        <w:rPr>
          <w:rFonts w:hint="eastAsia" w:ascii="仿宋_GB2312" w:hAnsi="宋体" w:eastAsia="仿宋_GB2312"/>
          <w:bCs/>
          <w:sz w:val="32"/>
          <w:szCs w:val="32"/>
        </w:rPr>
        <w:t>进一步按照国家有关财务规章制度规定加强资金使用管理，确保资金用到实处，工作有序的开展，加强自身建设，提高服务能力</w:t>
      </w:r>
      <w:r>
        <w:rPr>
          <w:rFonts w:hint="eastAsia" w:ascii="仿宋_GB2312" w:eastAsia="仿宋_GB2312"/>
          <w:sz w:val="32"/>
          <w:szCs w:val="32"/>
        </w:rPr>
        <w:t>。下一步改进措施：一是</w:t>
      </w:r>
      <w:r>
        <w:rPr>
          <w:rFonts w:hint="eastAsia" w:ascii="仿宋_GB2312" w:hAnsi="宋体" w:eastAsia="仿宋_GB2312"/>
          <w:bCs/>
          <w:sz w:val="32"/>
          <w:szCs w:val="32"/>
        </w:rPr>
        <w:t>大力强化宣传，加强政策学习，提高思想认识，提高绩效监控认同感，首先要从部门实际入手，进行深刻剖析，分析实施绩效监控的重要性和意义，激发部门单位对实施绩效监控的积极性；</w:t>
      </w:r>
      <w:r>
        <w:rPr>
          <w:rFonts w:hint="eastAsia" w:ascii="仿宋_GB2312" w:eastAsia="仿宋_GB2312"/>
          <w:sz w:val="32"/>
          <w:szCs w:val="32"/>
        </w:rPr>
        <w:t>二是</w:t>
      </w:r>
      <w:r>
        <w:rPr>
          <w:rFonts w:hint="eastAsia" w:ascii="仿宋_GB2312" w:hAnsi="宋体" w:eastAsia="仿宋_GB2312"/>
          <w:bCs/>
          <w:sz w:val="32"/>
          <w:szCs w:val="32"/>
        </w:rPr>
        <w:t>着力推动绩效运行监控与部门内部控制管理相结合，发现问题及时纠正，确保绩效监控结果的客观性和准确性</w:t>
      </w:r>
      <w:r>
        <w:rPr>
          <w:rFonts w:hint="eastAsia" w:ascii="仿宋_GB2312" w:eastAsia="仿宋_GB2312"/>
          <w:sz w:val="32"/>
          <w:szCs w:val="32"/>
        </w:rPr>
        <w:t>。具体项目自评情况附绩效自评表及自评报告。</w:t>
      </w:r>
    </w:p>
    <w:tbl>
      <w:tblPr>
        <w:tblStyle w:val="9"/>
        <w:tblW w:w="0" w:type="auto"/>
        <w:tblInd w:w="0" w:type="dxa"/>
        <w:tblLayout w:type="fixed"/>
        <w:tblCellMar>
          <w:top w:w="0" w:type="dxa"/>
          <w:left w:w="108" w:type="dxa"/>
          <w:bottom w:w="0" w:type="dxa"/>
          <w:right w:w="108" w:type="dxa"/>
        </w:tblCellMar>
      </w:tblPr>
      <w:tblGrid>
        <w:gridCol w:w="1101"/>
        <w:gridCol w:w="976"/>
        <w:gridCol w:w="1292"/>
        <w:gridCol w:w="1275"/>
        <w:gridCol w:w="1317"/>
        <w:gridCol w:w="1133"/>
        <w:gridCol w:w="767"/>
        <w:gridCol w:w="661"/>
      </w:tblGrid>
      <w:tr>
        <w:tblPrEx>
          <w:tblCellMar>
            <w:top w:w="0" w:type="dxa"/>
            <w:left w:w="108" w:type="dxa"/>
            <w:bottom w:w="0" w:type="dxa"/>
            <w:right w:w="108" w:type="dxa"/>
          </w:tblCellMar>
        </w:tblPrEx>
        <w:trPr>
          <w:trHeight w:val="522"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tblPrEx>
          <w:tblCellMar>
            <w:top w:w="0" w:type="dxa"/>
            <w:left w:w="108" w:type="dxa"/>
            <w:bottom w:w="0" w:type="dxa"/>
            <w:right w:w="108" w:type="dxa"/>
          </w:tblCellMar>
        </w:tblPrEx>
        <w:trPr>
          <w:trHeight w:val="360"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tblPrEx>
          <w:tblCellMar>
            <w:top w:w="0" w:type="dxa"/>
            <w:left w:w="108" w:type="dxa"/>
            <w:bottom w:w="0" w:type="dxa"/>
            <w:right w:w="108" w:type="dxa"/>
          </w:tblCellMar>
        </w:tblPrEx>
        <w:trPr>
          <w:trHeight w:val="660" w:hRule="atLeast"/>
        </w:trPr>
        <w:tc>
          <w:tcPr>
            <w:tcW w:w="11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7421" w:type="dxa"/>
            <w:gridSpan w:val="7"/>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木垒县机关事务服务中心</w:t>
            </w:r>
          </w:p>
        </w:tc>
      </w:tr>
      <w:tr>
        <w:tblPrEx>
          <w:tblCellMar>
            <w:top w:w="0" w:type="dxa"/>
            <w:left w:w="108" w:type="dxa"/>
            <w:bottom w:w="0" w:type="dxa"/>
            <w:right w:w="108" w:type="dxa"/>
          </w:tblCellMar>
        </w:tblPrEx>
        <w:trPr>
          <w:trHeight w:val="570" w:hRule="atLeast"/>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9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29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6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479"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29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10</w:t>
            </w:r>
          </w:p>
        </w:tc>
      </w:tr>
      <w:tr>
        <w:tblPrEx>
          <w:tblCellMar>
            <w:top w:w="0" w:type="dxa"/>
            <w:left w:w="108" w:type="dxa"/>
            <w:bottom w:w="0" w:type="dxa"/>
            <w:right w:w="108" w:type="dxa"/>
          </w:tblCellMar>
        </w:tblPrEx>
        <w:trPr>
          <w:trHeight w:val="684"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9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29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566"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9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29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690"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bookmarkStart w:id="48" w:name="_GoBack" w:colFirst="5" w:colLast="7"/>
          </w:p>
        </w:tc>
        <w:tc>
          <w:tcPr>
            <w:tcW w:w="9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29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457.17</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449.32</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449.32</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rPr>
              <w:t>-</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rPr>
              <w:t>-</w:t>
            </w:r>
          </w:p>
        </w:tc>
        <w:tc>
          <w:tcPr>
            <w:tcW w:w="6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rPr>
              <w:t>-</w:t>
            </w:r>
          </w:p>
        </w:tc>
      </w:tr>
      <w:tr>
        <w:tblPrEx>
          <w:tblCellMar>
            <w:top w:w="0" w:type="dxa"/>
            <w:left w:w="108" w:type="dxa"/>
            <w:bottom w:w="0" w:type="dxa"/>
            <w:right w:w="108" w:type="dxa"/>
          </w:tblCellMar>
        </w:tblPrEx>
        <w:trPr>
          <w:trHeight w:val="572"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9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29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rPr>
              <w:t>-</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rPr>
              <w:t>-</w:t>
            </w:r>
          </w:p>
        </w:tc>
        <w:tc>
          <w:tcPr>
            <w:tcW w:w="6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rPr>
              <w:t>-</w:t>
            </w:r>
          </w:p>
        </w:tc>
      </w:tr>
      <w:bookmarkEnd w:id="48"/>
      <w:tr>
        <w:tblPrEx>
          <w:tblCellMar>
            <w:top w:w="0" w:type="dxa"/>
            <w:left w:w="108" w:type="dxa"/>
            <w:bottom w:w="0" w:type="dxa"/>
            <w:right w:w="108" w:type="dxa"/>
          </w:tblCellMar>
        </w:tblPrEx>
        <w:trPr>
          <w:trHeight w:val="410"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9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29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457.17</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449.32</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449.32</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705" w:hRule="atLeast"/>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5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878" w:type="dxa"/>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tblPrEx>
          <w:tblCellMar>
            <w:top w:w="0" w:type="dxa"/>
            <w:left w:w="108" w:type="dxa"/>
            <w:bottom w:w="0" w:type="dxa"/>
            <w:right w:w="108" w:type="dxa"/>
          </w:tblCellMar>
        </w:tblPrEx>
        <w:trPr>
          <w:trHeight w:val="200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354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1.负责对县直机关后勤服务工作安排调度；</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2.负责县直机关院落的安全保卫，消防安全；</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3.负责对县直机关办公用房拟定清理、调剂方案并组织维修、维护，对县直机关各院及宿舍区公共区域的水、电管理维修和收费;</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4.负责县直机关会议服务和县机关及各院文明卫生工作，搞好机关办公楼和院内保洁、保绿。</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5.负责配合县委、县人大、县政府、县政协等交办的接待后勤服务工作，加强区机关食堂经营监督管理工作，促进食堂优质服务;</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6.负责县机关单位公务用车平台管理工作，做好车辆派遣调度，维护管理好公务用车和交通安全工作。</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7.承办县委、县人大、县政府、县政协交办的其它工作。</w:t>
            </w:r>
          </w:p>
        </w:tc>
        <w:tc>
          <w:tcPr>
            <w:tcW w:w="3878"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本次自评节点，我单位已完成对县直机关后勤服务工作安排调度，县直机关院落的安全保卫，消防安全，对县直机关办公用房拟定清理、调剂方案并组织维修、维护，对县直机关各院及宿舍区公共区域的水、电管理维修和收费，县直机关会议服务和县机关及各院文明卫生工作，加强了区机关食堂经营监督管理工作，促进了食堂优质服务。</w:t>
            </w:r>
          </w:p>
        </w:tc>
      </w:tr>
      <w:tr>
        <w:tblPrEx>
          <w:tblCellMar>
            <w:top w:w="0" w:type="dxa"/>
            <w:left w:w="108" w:type="dxa"/>
            <w:bottom w:w="0" w:type="dxa"/>
            <w:right w:w="108" w:type="dxa"/>
          </w:tblCellMar>
        </w:tblPrEx>
        <w:trPr>
          <w:trHeight w:val="579" w:hRule="atLeast"/>
        </w:trPr>
        <w:tc>
          <w:tcPr>
            <w:tcW w:w="11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9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29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6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741" w:hRule="atLeast"/>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97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29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&gt;=10人</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中共木垒县委员会办公室 木垒县人民政府办公室关于印发《木垒哈萨克自治县机关事务服务中心职能配置、内设机构和人员编制规定》的通知</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10人</w:t>
            </w:r>
          </w:p>
        </w:tc>
        <w:tc>
          <w:tcPr>
            <w:tcW w:w="6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w:t>
            </w:r>
          </w:p>
        </w:tc>
      </w:tr>
      <w:tr>
        <w:tblPrEx>
          <w:tblCellMar>
            <w:top w:w="0" w:type="dxa"/>
            <w:left w:w="108" w:type="dxa"/>
            <w:bottom w:w="0" w:type="dxa"/>
            <w:right w:w="108" w:type="dxa"/>
          </w:tblCellMar>
        </w:tblPrEx>
        <w:trPr>
          <w:trHeight w:val="74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9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29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公务保障用车数量</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&gt;=9辆</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中共木垒县委员会办公室 木垒县人民政府办公室关于印发《木垒哈萨克自治县机关事务服务中心职能配置、内设机构和人员编制规定》的通知</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9辆</w:t>
            </w:r>
          </w:p>
        </w:tc>
        <w:tc>
          <w:tcPr>
            <w:tcW w:w="6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w:t>
            </w:r>
          </w:p>
        </w:tc>
      </w:tr>
      <w:tr>
        <w:tblPrEx>
          <w:tblCellMar>
            <w:top w:w="0" w:type="dxa"/>
            <w:left w:w="108" w:type="dxa"/>
            <w:bottom w:w="0" w:type="dxa"/>
            <w:right w:w="108" w:type="dxa"/>
          </w:tblCellMar>
        </w:tblPrEx>
        <w:trPr>
          <w:trHeight w:val="741" w:hRule="atLeast"/>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97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数量指标 </w:t>
            </w:r>
          </w:p>
        </w:tc>
        <w:tc>
          <w:tcPr>
            <w:tcW w:w="129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管理单位数量</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&gt;=96个</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木垒哈萨克自治县机关事务服务中心2023年工作计划</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96个</w:t>
            </w:r>
          </w:p>
        </w:tc>
        <w:tc>
          <w:tcPr>
            <w:tcW w:w="6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4</w:t>
            </w:r>
          </w:p>
        </w:tc>
      </w:tr>
      <w:tr>
        <w:tblPrEx>
          <w:tblCellMar>
            <w:top w:w="0" w:type="dxa"/>
            <w:left w:w="108" w:type="dxa"/>
            <w:bottom w:w="0" w:type="dxa"/>
            <w:right w:w="108" w:type="dxa"/>
          </w:tblCellMar>
        </w:tblPrEx>
        <w:trPr>
          <w:trHeight w:val="74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9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29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管理办公用房数量</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&gt;=107个</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木垒哈萨克自治县机关事务服务中心2023年工作计划</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107个</w:t>
            </w:r>
          </w:p>
        </w:tc>
        <w:tc>
          <w:tcPr>
            <w:tcW w:w="6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4</w:t>
            </w:r>
          </w:p>
        </w:tc>
      </w:tr>
      <w:tr>
        <w:tblPrEx>
          <w:tblCellMar>
            <w:top w:w="0" w:type="dxa"/>
            <w:left w:w="108" w:type="dxa"/>
            <w:bottom w:w="0" w:type="dxa"/>
            <w:right w:w="108" w:type="dxa"/>
          </w:tblCellMar>
        </w:tblPrEx>
        <w:trPr>
          <w:trHeight w:val="74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9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29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政府采购执行率</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木垒哈萨克自治县机关事务服务中心2023年工作计划</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15</w:t>
            </w:r>
          </w:p>
        </w:tc>
      </w:tr>
      <w:tr>
        <w:tblPrEx>
          <w:tblCellMar>
            <w:top w:w="0" w:type="dxa"/>
            <w:left w:w="108" w:type="dxa"/>
            <w:bottom w:w="0" w:type="dxa"/>
            <w:right w:w="108" w:type="dxa"/>
          </w:tblCellMar>
        </w:tblPrEx>
        <w:trPr>
          <w:trHeight w:val="741" w:hRule="atLeast"/>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9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数量指标 </w:t>
            </w:r>
          </w:p>
        </w:tc>
        <w:tc>
          <w:tcPr>
            <w:tcW w:w="129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开展机关各院内的设备维护检修工作</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&gt;=24次</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木垒哈萨克自治县机关事务服务中心2023年工作计划</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24次</w:t>
            </w:r>
          </w:p>
        </w:tc>
        <w:tc>
          <w:tcPr>
            <w:tcW w:w="6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12</w:t>
            </w:r>
          </w:p>
        </w:tc>
      </w:tr>
      <w:tr>
        <w:tblPrEx>
          <w:tblCellMar>
            <w:top w:w="0" w:type="dxa"/>
            <w:left w:w="108" w:type="dxa"/>
            <w:bottom w:w="0" w:type="dxa"/>
            <w:right w:w="108" w:type="dxa"/>
          </w:tblCellMar>
        </w:tblPrEx>
        <w:trPr>
          <w:trHeight w:val="74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1292"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设备设施维修率</w:t>
            </w:r>
          </w:p>
        </w:tc>
        <w:tc>
          <w:tcPr>
            <w:tcW w:w="1275"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317"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木垒哈萨克自治县机关事务服务中心2023年工作计划</w:t>
            </w:r>
          </w:p>
        </w:tc>
        <w:tc>
          <w:tcPr>
            <w:tcW w:w="1133"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767"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12</w:t>
            </w:r>
          </w:p>
        </w:tc>
      </w:tr>
      <w:tr>
        <w:tblPrEx>
          <w:tblCellMar>
            <w:top w:w="0" w:type="dxa"/>
            <w:left w:w="108" w:type="dxa"/>
            <w:bottom w:w="0" w:type="dxa"/>
            <w:right w:w="108" w:type="dxa"/>
          </w:tblCellMar>
        </w:tblPrEx>
        <w:trPr>
          <w:trHeight w:val="74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时效指标</w:t>
            </w:r>
          </w:p>
        </w:tc>
        <w:tc>
          <w:tcPr>
            <w:tcW w:w="1292"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管理单位设施设备维修及时率</w:t>
            </w:r>
          </w:p>
        </w:tc>
        <w:tc>
          <w:tcPr>
            <w:tcW w:w="1275"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317"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木垒哈萨克自治县机关事务服务中心2023年工作计划</w:t>
            </w:r>
          </w:p>
        </w:tc>
        <w:tc>
          <w:tcPr>
            <w:tcW w:w="1133"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67"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10</w:t>
            </w:r>
          </w:p>
        </w:tc>
      </w:tr>
      <w:tr>
        <w:tblPrEx>
          <w:tblCellMar>
            <w:top w:w="0" w:type="dxa"/>
            <w:left w:w="108" w:type="dxa"/>
            <w:bottom w:w="0" w:type="dxa"/>
            <w:right w:w="108" w:type="dxa"/>
          </w:tblCellMar>
        </w:tblPrEx>
        <w:trPr>
          <w:trHeight w:val="74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292"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各单位司勤人员文明行车、安全出行培训覆盖率</w:t>
            </w:r>
          </w:p>
        </w:tc>
        <w:tc>
          <w:tcPr>
            <w:tcW w:w="1275"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317"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木垒哈萨克自治县机关事务服务中心2023年工作计划</w:t>
            </w:r>
          </w:p>
        </w:tc>
        <w:tc>
          <w:tcPr>
            <w:tcW w:w="1133"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767"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12</w:t>
            </w:r>
          </w:p>
        </w:tc>
      </w:tr>
      <w:tr>
        <w:tblPrEx>
          <w:tblCellMar>
            <w:top w:w="0" w:type="dxa"/>
            <w:left w:w="108" w:type="dxa"/>
            <w:bottom w:w="0" w:type="dxa"/>
            <w:right w:w="108" w:type="dxa"/>
          </w:tblCellMar>
        </w:tblPrEx>
        <w:trPr>
          <w:trHeight w:val="74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976"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时效指标 </w:t>
            </w:r>
          </w:p>
        </w:tc>
        <w:tc>
          <w:tcPr>
            <w:tcW w:w="1292"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机关日常维修维护工作完成率</w:t>
            </w:r>
          </w:p>
        </w:tc>
        <w:tc>
          <w:tcPr>
            <w:tcW w:w="1275"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317"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木垒哈萨克自治县机关事务服务中心2023年工作计划</w:t>
            </w:r>
          </w:p>
        </w:tc>
        <w:tc>
          <w:tcPr>
            <w:tcW w:w="1133"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67"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10</w:t>
            </w:r>
          </w:p>
        </w:tc>
      </w:tr>
      <w:tr>
        <w:tblPrEx>
          <w:tblCellMar>
            <w:top w:w="0" w:type="dxa"/>
            <w:left w:w="108" w:type="dxa"/>
            <w:bottom w:w="0" w:type="dxa"/>
            <w:right w:w="108" w:type="dxa"/>
          </w:tblCellMar>
        </w:tblPrEx>
        <w:trPr>
          <w:trHeight w:val="741" w:hRule="atLeast"/>
        </w:trPr>
        <w:tc>
          <w:tcPr>
            <w:tcW w:w="11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976"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292"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275"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317"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133"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767"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6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741" w:hRule="atLeast"/>
        </w:trPr>
        <w:tc>
          <w:tcPr>
            <w:tcW w:w="11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976"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292"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275"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317"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133"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767"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6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741" w:hRule="atLeast"/>
        </w:trPr>
        <w:tc>
          <w:tcPr>
            <w:tcW w:w="11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976"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1292"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相关部门满意度</w:t>
            </w:r>
          </w:p>
        </w:tc>
        <w:tc>
          <w:tcPr>
            <w:tcW w:w="1275"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317"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木垒哈萨克自治县机关事务服务中心2023年工作计划</w:t>
            </w:r>
          </w:p>
        </w:tc>
        <w:tc>
          <w:tcPr>
            <w:tcW w:w="1133"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767"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6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5</w:t>
            </w:r>
          </w:p>
        </w:tc>
      </w:tr>
    </w:tbl>
    <w:p>
      <w:pPr>
        <w:ind w:firstLine="640" w:firstLineChars="200"/>
        <w:jc w:val="left"/>
        <w:rPr>
          <w:rFonts w:ascii="仿宋_GB2312" w:eastAsia="仿宋_GB2312"/>
          <w:sz w:val="32"/>
          <w:szCs w:val="32"/>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6B7E56"/>
    <w:rsid w:val="00213C59"/>
    <w:rsid w:val="003210CE"/>
    <w:rsid w:val="005935BE"/>
    <w:rsid w:val="006B7E56"/>
    <w:rsid w:val="007B7E1C"/>
    <w:rsid w:val="00832DD1"/>
    <w:rsid w:val="00A66657"/>
    <w:rsid w:val="00AA66F6"/>
    <w:rsid w:val="00AE26FD"/>
    <w:rsid w:val="00AE4539"/>
    <w:rsid w:val="00B70D59"/>
    <w:rsid w:val="00BE38CC"/>
    <w:rsid w:val="00CA461B"/>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5911DDE"/>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6654</Words>
  <Characters>7477</Characters>
  <Lines>61</Lines>
  <Paragraphs>17</Paragraphs>
  <TotalTime>31</TotalTime>
  <ScaleCrop>false</ScaleCrop>
  <LinksUpToDate>false</LinksUpToDate>
  <CharactersWithSpaces>7521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2024-09-03T03:07:13Z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